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245</w:t>
      </w:r>
    </w:p>
    <w:p>
      <w:r>
        <w:t>Bundesgericht (BGE), 1994-11-18, FR</w:t>
      </w:r>
    </w:p>
    <w:p>
      <w:r>
        <w:rPr>
          <w:b/>
        </w:rPr>
        <w:t xml:space="preserve">Quelle: </w:t>
      </w:r>
      <w:r>
        <w:t>https://mcp.opencaselaw.ch/entscheid/bge_121 II 245</w:t>
      </w:r>
    </w:p>
    <w:p>
      <w:r>
        <w:t>FR: ATF 121 II 245</w:t>
      </w:r>
    </w:p>
    <w:p>
      <w:r>
        <w:t>IT: DTF 121 II 245</w:t>
      </w:r>
    </w:p>
    <w:p>
      <w:pPr>
        <w:pStyle w:val="Heading2"/>
      </w:pPr>
      <w:r>
        <w:t>Regeste</w:t>
      </w:r>
    </w:p>
    <w:p>
      <w:r>
        <w:t>Regeste Art. 9 IRSG und Art. 69 BStP. Die Bezeichnung der zuständigen richterlichen Behörde für Fragen im Zusammenhang mit Siegelungen obliegt dem kantonalen Recht (E. 4d/aa). Weder das anwendbare kantonale Recht noch das Bundesrecht stehen dem Umstand entgegen, dass über solche Fragen erstinstanzlich ein Untersuchungsrichter entscheidet (E. 4d/bb).</w:t>
      </w:r>
    </w:p>
    <w:p>
      <w:pPr>
        <w:pStyle w:val="Heading2"/>
      </w:pPr>
      <w:r>
        <w:t>Erwägungen</w:t>
      </w:r>
    </w:p>
    <w:p>
      <w:r>
        <w:rPr>
          <w:b/>
        </w:rPr>
        <w:t>E. 4</w:t>
      </w:r>
    </w:p>
    <w:p>
      <w:r>
        <w:t>d) L'art. 9, 2e phrase de la loi fédérale sur l'entraide internationale en matière pénale (EIMP; RS 351.1) a la teneur suivante: "Les principes établis à l'article 69 de la loi fédérale sur la procédure pénale s'appliquent à la perquisition de papiers et à leur mise sous scellés". BGE 121 II 245 S. 247 aa) Selon l' art. 69 PPF , la perquisition de papiers doit être opérée de façon que les secrets de caractère privé soient respectés dans toute la mesure du possible et que le secret professionnel visé par l'art. 77 de la même loi soit sauvegardé (al. 1); les papiers ne sont examinés que s'ils contiennent apparemment des écrits importants (al. 2); leur détenteur est si possible mis en mesure d'en indiquer le contenu avant la perquisition; s'il s'oppose à celle-ci, les papiers sont mis sous scellés et déposés en lieu sûr. Dans ce cas, la décision sur l'admissibilité de la perquisition appartient à la Chambre d'accusation (du Tribunal fédéral) jusqu'aux débats et au tribunal durant les débats (al. 3). Il résulte du texte de l' art. 9 EIMP que seuls "les principes" de l' art. 69 PPF s'appliquent en matière d'entraide judiciaire, du moins lorsque celle-ci est exercée par les autorités cantonales. Ces "principes" se rapportent en premier lieu aux règles de procédure à suivre. En revanche les règles de l' art. 69 PPF concernant la compétence ne sont pas directement applicables et il suffit, de ce point de vue, que la décision sur l'admissibilité de la perquisition soit prise par une autorité judiciaire (cf. ATF 120 Ib 182 consid. 3c, ATF 114 Ib 359 consid. 4). C'est au droit cantonal qu'il appartient, pour le surplus, de fixer la procédure à suivre et de désigner les autorités compétentes ( art. 12 et 16 al. 2 EIMP ). bb) En vertu de l'art. 31 al. 1 lettre f de la loi genevoise d'application du code pénal, "lorsque ces mesures concernent le domaine secret et qu'elles sont contestées, le juge d'instruction place l'objet en lieu sûr et il en interdit l'accès. La Chambre d'accusation statue sur l'admissibilité desdites mesures ( art. 9 EIMP )." Ces dispositions ne sont pas contraires au droit fédéral. Elles n'ont pas non plus été violées par la cour cantonale. Pour le surplus, la Chambre d'accusation a estimé avec raison que la question de l'admissibilité de la mesure était discutée dans le cadre du recours contre l'ordonnance d'entrée en matière, puisque celle-ci comportait en même temps la mesure contestée de perquisition et de saisie; la démarche de la recourante, telle qu'elle était présentée, faisait partant double emploi avec son recours initial. En transmettant dès lors les documents au juge d'instruction afin qu'il les mette en lieu sûr, elle n'a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